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546B" w14:textId="77777777" w:rsidR="00B94877" w:rsidRPr="00D22E45" w:rsidRDefault="00B94877" w:rsidP="00B94877">
      <w:pPr>
        <w:pStyle w:val="a3"/>
        <w:spacing w:before="0" w:beforeAutospacing="0" w:after="240" w:afterAutospacing="0" w:line="390" w:lineRule="atLeast"/>
        <w:jc w:val="center"/>
        <w:textAlignment w:val="baseline"/>
        <w:rPr>
          <w:rFonts w:ascii="GHEA Grapalat" w:hAnsi="GHEA Grapalat" w:cs="Arial"/>
          <w:b/>
          <w:bCs/>
          <w:color w:val="000000"/>
          <w:spacing w:val="8"/>
          <w:lang w:val="hy-AM"/>
        </w:rPr>
      </w:pPr>
      <w:r w:rsidRPr="00D22E45">
        <w:rPr>
          <w:rFonts w:ascii="GHEA Grapalat" w:hAnsi="GHEA Grapalat" w:cs="Arial"/>
          <w:b/>
          <w:bCs/>
          <w:color w:val="000000"/>
          <w:spacing w:val="8"/>
          <w:lang w:val="hy-AM"/>
        </w:rPr>
        <w:t>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ծրագիր</w:t>
      </w:r>
    </w:p>
    <w:p w14:paraId="4D4F55A0" w14:textId="77777777" w:rsidR="00B94877" w:rsidRPr="00D22E45" w:rsidRDefault="00B94877" w:rsidP="00B94877">
      <w:pPr>
        <w:pStyle w:val="a3"/>
        <w:spacing w:before="0" w:beforeAutospacing="0" w:after="240" w:afterAutospacing="0" w:line="390" w:lineRule="atLeast"/>
        <w:jc w:val="center"/>
        <w:textAlignment w:val="baseline"/>
        <w:rPr>
          <w:rFonts w:ascii="GHEA Grapalat" w:hAnsi="GHEA Grapalat" w:cs="Arial"/>
          <w:b/>
          <w:bCs/>
          <w:color w:val="000000"/>
          <w:spacing w:val="8"/>
          <w:lang w:val="hy-AM"/>
        </w:rPr>
      </w:pPr>
      <w:r w:rsidRPr="00D22E45">
        <w:rPr>
          <w:rFonts w:ascii="GHEA Grapalat" w:hAnsi="GHEA Grapalat" w:cs="Arial"/>
          <w:b/>
          <w:bCs/>
          <w:color w:val="000000"/>
          <w:spacing w:val="8"/>
          <w:lang w:val="hy-AM"/>
        </w:rPr>
        <w:t>Տեխնիկական Առաջադրանք</w:t>
      </w:r>
    </w:p>
    <w:p w14:paraId="7794C346" w14:textId="77777777" w:rsidR="00B94877" w:rsidRPr="00D22E45" w:rsidRDefault="00B94877" w:rsidP="00B94877">
      <w:pPr>
        <w:pStyle w:val="a3"/>
        <w:spacing w:before="0" w:beforeAutospacing="0" w:after="240" w:afterAutospacing="0" w:line="390" w:lineRule="atLeast"/>
        <w:jc w:val="center"/>
        <w:textAlignment w:val="baseline"/>
        <w:rPr>
          <w:rFonts w:ascii="GHEA Grapalat" w:hAnsi="GHEA Grapalat" w:cs="Arial"/>
          <w:b/>
          <w:bCs/>
          <w:color w:val="000000"/>
          <w:spacing w:val="8"/>
          <w:lang w:val="hy-AM"/>
        </w:rPr>
      </w:pPr>
      <w:r w:rsidRPr="00D22E45">
        <w:rPr>
          <w:rFonts w:ascii="GHEA Grapalat" w:hAnsi="GHEA Grapalat" w:cs="Arial"/>
          <w:b/>
          <w:bCs/>
          <w:color w:val="000000"/>
          <w:spacing w:val="8"/>
          <w:lang w:val="hy-AM"/>
        </w:rPr>
        <w:t>Խորհրդատվական ծառայություններ արևային կայաններից և էլեկտրական մեքենաների մարտկոցներից գոյացող էլեկտրոնային թափոնների բնապահպանական և սոցիալ-տնտեսական ռիսկերի գնահատման և զեկույցի պատրաստման վերաբերյալ</w:t>
      </w:r>
    </w:p>
    <w:p w14:paraId="211440B4" w14:textId="77777777" w:rsidR="00B94877" w:rsidRPr="00D22E45" w:rsidRDefault="00B94877" w:rsidP="00B94877">
      <w:pPr>
        <w:pStyle w:val="a3"/>
        <w:spacing w:before="0" w:beforeAutospacing="0" w:after="240" w:afterAutospacing="0" w:line="390" w:lineRule="atLeast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1. ԸՆԴՀԱՆՈՒՐ</w:t>
      </w:r>
    </w:p>
    <w:p w14:paraId="2102FF00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Հայաստանի վերականգնվող էներգետիկայի և էներգախնայողության հիմնադրամը (այսուհետ՝ ՀՎԷԷ հիմնադրամ, Պատվիրատու) Կանաչ կլիմայի հիմնադրամից ստացել է դրամաշնորհ՝ 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ծրագրի (այսուհետ՝ Ծրագիր) իրականացման համար։ ՀՎԷԷ հիմնադրամը հանդես է գալիս որպես </w:t>
      </w:r>
      <w:r w:rsidRPr="00D22E45">
        <w:rPr>
          <w:rFonts w:ascii="GHEA Grapalat" w:hAnsi="GHEA Grapalat" w:cs="Arial"/>
          <w:color w:val="000000"/>
          <w:spacing w:val="8"/>
          <w:lang w:val="hy-AM"/>
        </w:rPr>
        <w:t>Ծրագրի իրականացնող մարմին։ Ծրագրի նպատակն է ստեղծել համապարփակ համակարգ էլեկտրոնային թափոնների կառավարման համար՝ նպաստելով արևային էներգիայի և էլեկտրական շարժունակության շուկաների կայուն զարգացմանը Հայաստանում։</w:t>
      </w:r>
      <w:r w:rsidRPr="00D22E45">
        <w:rPr>
          <w:rFonts w:ascii="GHEA Grapalat" w:hAnsi="GHEA Grapalat" w:cs="Arial"/>
          <w:lang w:val="hy-AM"/>
        </w:rPr>
        <w:t xml:space="preserve"> </w:t>
      </w:r>
      <w:r w:rsidRPr="00D22E45">
        <w:rPr>
          <w:rFonts w:ascii="GHEA Grapalat" w:hAnsi="GHEA Grapalat" w:cs="Arial"/>
          <w:color w:val="000000"/>
          <w:spacing w:val="8"/>
          <w:lang w:val="hy-AM"/>
        </w:rPr>
        <w:t xml:space="preserve">Այդ նպատակով ծրագիրը ներառում է միջոցառումներ՝ ուղղված էլեկտրոնային թափոնների բնապահպանական և սոցիալ-տնտեսական ռիսկերի գնահատմանը, էլեկտրոնային թափոնների կառավարման ոլորտում առկա իրավական բացերի հասցեագրմանը, տնտեսական արժեքի ստեղծմանը՝ վերաօգտագործման և վերամշակման միջոցով, ներառյալ տեղական </w:t>
      </w:r>
      <w:r w:rsidRPr="00D22E45">
        <w:rPr>
          <w:rFonts w:ascii="GHEA Grapalat" w:hAnsi="GHEA Grapalat" w:cs="Arial"/>
          <w:lang w:val="hy-AM"/>
        </w:rPr>
        <w:t>վերամշակման օբյեկտների նախնական տեխնիկատնտեսական ուսուսնասիրության իրականացմամբ, ինչպես նաև հանրային</w:t>
      </w:r>
      <w:r w:rsidRPr="00D22E45">
        <w:rPr>
          <w:rFonts w:ascii="GHEA Grapalat" w:hAnsi="GHEA Grapalat" w:cs="Arial"/>
          <w:color w:val="000000"/>
          <w:spacing w:val="8"/>
          <w:lang w:val="hy-AM"/>
        </w:rPr>
        <w:t xml:space="preserve"> և մասնավոր հատվածների շահագրգիռ կողմերի կարողությունների զարգացմանը՝ ոլորտի կառավարումը բարելավելու նպատակով։ Վերոնշյալ միջոցառումները թույլ կտան խթանել կլիմայական շարունակական քաղաքականության իրականացմանն էներգետիկայի և տրանսպորտի ոլորտներում՝</w:t>
      </w:r>
      <w:r w:rsidRPr="00D22E45">
        <w:rPr>
          <w:rFonts w:ascii="GHEA Grapalat" w:hAnsi="GHEA Grapalat" w:cs="Arial"/>
          <w:lang w:val="hy-AM"/>
        </w:rPr>
        <w:t xml:space="preserve"> </w:t>
      </w:r>
      <w:r w:rsidRPr="00D22E45">
        <w:rPr>
          <w:rFonts w:ascii="GHEA Grapalat" w:hAnsi="GHEA Grapalat" w:cs="Arial"/>
          <w:color w:val="000000"/>
          <w:spacing w:val="8"/>
          <w:lang w:val="hy-AM"/>
        </w:rPr>
        <w:t>էլեկտրոնային թափոնների աճող ծավալներին զուգահեռ։</w:t>
      </w:r>
    </w:p>
    <w:p w14:paraId="0AFD7307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  <w:r w:rsidRPr="00D22E45">
        <w:rPr>
          <w:rFonts w:ascii="GHEA Grapalat" w:hAnsi="GHEA Grapalat" w:cs="Arial"/>
          <w:color w:val="000000"/>
          <w:spacing w:val="8"/>
          <w:lang w:val="hy-AM"/>
        </w:rPr>
        <w:t>Սույն Տեխնիկական Առաջադրանքը նախատեսում է խորհրդատվական ծառայությունների մատուցում</w:t>
      </w:r>
      <w:r w:rsidRPr="00D22E45">
        <w:rPr>
          <w:rFonts w:ascii="GHEA Grapalat" w:hAnsi="GHEA Grapalat" w:cs="Arial"/>
          <w:lang w:val="hy-AM"/>
        </w:rPr>
        <w:t xml:space="preserve"> </w:t>
      </w:r>
      <w:r w:rsidRPr="00D22E45">
        <w:rPr>
          <w:rFonts w:ascii="GHEA Grapalat" w:hAnsi="GHEA Grapalat" w:cs="Arial"/>
          <w:color w:val="000000"/>
          <w:spacing w:val="8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r w:rsidRPr="00D22E45">
        <w:rPr>
          <w:rFonts w:ascii="GHEA Grapalat" w:hAnsi="GHEA Grapalat" w:cs="Arial"/>
          <w:color w:val="000000"/>
          <w:spacing w:val="8"/>
          <w:lang w:val="hy-AM"/>
        </w:rPr>
        <w:lastRenderedPageBreak/>
        <w:t>բնապահպանական և սոցիալ-տնտեսական ռիսկերի գնահատման և զեկույցի պատրաստման համար։</w:t>
      </w:r>
    </w:p>
    <w:p w14:paraId="383286B8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 xml:space="preserve">2. ՆՊԱՏԱԿԸ </w:t>
      </w:r>
    </w:p>
    <w:p w14:paraId="05671D02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Սույն Տեխնիկական Առաջադրանքի նպատակն է իրականացնել </w:t>
      </w:r>
      <w:bookmarkStart w:id="0" w:name="_Hlk203931838"/>
      <w:r w:rsidRPr="00D22E45">
        <w:rPr>
          <w:rFonts w:ascii="GHEA Grapalat" w:hAnsi="GHEA Grapalat" w:cs="Arial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0"/>
      <w:r w:rsidRPr="00D22E45">
        <w:rPr>
          <w:rFonts w:ascii="GHEA Grapalat" w:hAnsi="GHEA Grapalat" w:cs="Arial"/>
          <w:lang w:val="hy-AM"/>
        </w:rPr>
        <w:t xml:space="preserve">բնապահպանական և սոցիալ-տնտեսական ռիսկերի գնահատում, ինչպես նաև գնահատման արդյունքների վերաբերյալ մշակել զեկույց, ներառյալ ոլորտի քաղաքականության վերաբերյալ առաջարկությունների ներկայացում։ Ծառայությունների մատուցման արդյունքում կբարձրացվի արևային կայաններից և էլեկտրական մեքենաների մարտկոցներից գոյացող էլեկտրոնային թափոնների բնապահպանական և սոցիալ-տնտեսական ռիսկերի վերաբերյալ պետական կառույցների և մասնավոր հատվածի ներկայացուցիչների իրազեկվածության մակարդակը, ինչպես նաև կտրամադրի անհրաժեշտ տեղեկատվություն և առաջարկություններ՝ ոլորտի կառավարման համար Ծրագրով նախատեսվող իրավական շրջանակի մշակման աշխատանքներն աջակցելու նպատակով։ </w:t>
      </w:r>
    </w:p>
    <w:p w14:paraId="5FD0993C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3. ԾԱՌԱՅՈՒԹՅՈՒՆՆԵՐԻ ՇՐՋԱՆԱԿԸ</w:t>
      </w:r>
    </w:p>
    <w:p w14:paraId="609385E3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Նշված նպատակներին հասնելու համար Խորհրդատուն պետք է իրականացնի հետևյալ առաջադրանքները՝ </w:t>
      </w:r>
    </w:p>
    <w:p w14:paraId="16842F4F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 xml:space="preserve">Առաջադրանք 1. – Մշակել հաշվետվություն, որը </w:t>
      </w:r>
      <w:bookmarkStart w:id="1" w:name="_Hlk203950859"/>
      <w:r w:rsidRPr="00D22E45">
        <w:rPr>
          <w:rFonts w:ascii="GHEA Grapalat" w:hAnsi="GHEA Grapalat" w:cs="Arial"/>
          <w:b/>
          <w:bCs/>
          <w:lang w:val="hy-AM"/>
        </w:rPr>
        <w:t xml:space="preserve">ներառում է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(disaggredated data) և կանխատեսումներ, ներառյալ էլեկտրոնային թափոնների ծավալների վերաբերյալ շարունակական </w:t>
      </w:r>
      <w:bookmarkStart w:id="2" w:name="_Hlk203933300"/>
      <w:r w:rsidRPr="00D22E45">
        <w:rPr>
          <w:rFonts w:ascii="GHEA Grapalat" w:hAnsi="GHEA Grapalat" w:cs="Arial"/>
          <w:b/>
          <w:bCs/>
          <w:lang w:val="hy-AM"/>
        </w:rPr>
        <w:t>հաշվետվայնության</w:t>
      </w:r>
      <w:bookmarkEnd w:id="2"/>
      <w:r w:rsidRPr="00D22E45">
        <w:rPr>
          <w:rFonts w:ascii="GHEA Grapalat" w:hAnsi="GHEA Grapalat" w:cs="Arial"/>
          <w:b/>
          <w:bCs/>
          <w:lang w:val="hy-AM"/>
        </w:rPr>
        <w:t xml:space="preserve"> և մոնիթորինգի մեխանիզմների վերաբերյալ առաջարկությունների ներկայացում</w:t>
      </w:r>
      <w:bookmarkEnd w:id="1"/>
      <w:r w:rsidRPr="00D22E45">
        <w:rPr>
          <w:rFonts w:ascii="GHEA Grapalat" w:hAnsi="GHEA Grapalat" w:cs="Arial"/>
          <w:b/>
          <w:bCs/>
          <w:lang w:val="hy-AM"/>
        </w:rPr>
        <w:t>, այդ թվում`</w:t>
      </w:r>
    </w:p>
    <w:p w14:paraId="68179501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1.1. Ուսումնասիրել էլեկտրոնային թափոնների ծավալների կայուն հաշվետվայնության և մոնիթորինգի համակարգի վերաբերյալ միջազգային լավագույն և ՀՀ-ում կիրառելի փորձը:</w:t>
      </w:r>
    </w:p>
    <w:p w14:paraId="6BBC471D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1.2. Պաշտոնական և ոչ պաշտոնական աղբյուրներից հավաքագրել և վերլուծել </w:t>
      </w:r>
      <w:bookmarkStart w:id="3" w:name="_Hlk203938570"/>
      <w:r w:rsidRPr="00D22E45">
        <w:rPr>
          <w:rFonts w:ascii="GHEA Grapalat" w:hAnsi="GHEA Grapalat" w:cs="Arial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3"/>
      <w:r w:rsidRPr="00D22E45">
        <w:rPr>
          <w:rFonts w:ascii="GHEA Grapalat" w:hAnsi="GHEA Grapalat" w:cs="Arial"/>
          <w:lang w:val="hy-AM"/>
        </w:rPr>
        <w:t>ծավալների վերաբերյալ տվյալները:</w:t>
      </w:r>
    </w:p>
    <w:p w14:paraId="31011820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lastRenderedPageBreak/>
        <w:t xml:space="preserve">1.3. Իրականացնել շահագրգիռ կողմերի ներգրավման գործընթաց՝ տվյալների հավաքագրումն ամփոփելու և հավաքագրված տվյալները հավաստագրելու համար, ներառյալ խորհրդակցությունների անցկացում պետական կառույցների ներկայացուցիչների հետ (պատասխանատու թափոնների, էներգետիկայի և տրանսպորտի ոլորտների համար) և մասնավոր հատվածի հետ, ներառյալ՝ թափոնների կառավարման ոլորտում մասնագիտացած ընկերությունների և ՀԿ-ների, արևային կայանների և էլեկտրական մեքենաների հետ կապված ծառայություններ մատուցող, արևային կայանների շինարարություն իրականացնող ու արևային կայաններ և էլեկտրական մեքենաներ ներմուծող ընկերությունների, միջազգային կազմակերպությունների, խորհրդատվական ընկերությունների և ակադեմիական հաստատությունների հետ, որոնք փորձ ունեն էլեկտրոնային թափոնների հետազոտության ոլորտում և/կամ առնչվում են էլեկտրոնային թափոնների խնդիրներին։ </w:t>
      </w:r>
    </w:p>
    <w:p w14:paraId="12074F61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1.4. Հավաքագրված և հավաստագրված տվյալների հիման վրա ուսումնասիրել ազգային և ոլորտային համապատասխան ռազմավարությունները/գործողությունների ծրագրերը և իրականացնել արևային կայաններից և էլեկտրական մեքենաների մարտկոցներից գոյացող էլեկտրոնային թափոնների ծավալների կանխատեսումներ:</w:t>
      </w:r>
    </w:p>
    <w:p w14:paraId="3D7D0837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1.5. Հավաքագրված, հավաստագրված տվյալների և կանխատեսումների գնահատումների հիման վրա մշակել առաջարկությունների շարք՝ ներպետական մակարդակով էլեկտրոնային թափոնների ծավալների շարունակական </w:t>
      </w:r>
      <w:bookmarkStart w:id="4" w:name="_Hlk206689208"/>
      <w:r w:rsidRPr="00D22E45">
        <w:rPr>
          <w:rFonts w:ascii="GHEA Grapalat" w:hAnsi="GHEA Grapalat" w:cs="Arial"/>
          <w:lang w:val="hy-AM"/>
        </w:rPr>
        <w:t xml:space="preserve">հաշվետվայնության և մոնիթորինգի </w:t>
      </w:r>
      <w:bookmarkEnd w:id="4"/>
      <w:r w:rsidRPr="00D22E45">
        <w:rPr>
          <w:rFonts w:ascii="GHEA Grapalat" w:hAnsi="GHEA Grapalat" w:cs="Arial"/>
          <w:lang w:val="hy-AM"/>
        </w:rPr>
        <w:t>համակարգի ներդրման համար:</w:t>
      </w:r>
    </w:p>
    <w:p w14:paraId="00B106DE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1.6. Մշակել հաշվետվության նախագիծ, որը ներառում է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ըստ կիրառության (disaggredated data) և կանխատեսումներ, ներառյալ էլեկտրոնային թափոնների ծավալների շարունակական հաշվետվայնության և մոնիթորինգի համակարգի ներդրման վերաբերյալ առաջարկություններ:</w:t>
      </w:r>
    </w:p>
    <w:p w14:paraId="226120CE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1.7. Անցկացնել շահագրգիռ կողմերի (հանրային և մասնավոր) խորհրդակցությունների ևս մեկ փուլ՝ հաշվետվության նախագծի վերաբերյալ, և խորհրդակցությունների արդյունքների հիման վրա վերանայել և ամփոփել փաստաթուղթը։ </w:t>
      </w:r>
    </w:p>
    <w:p w14:paraId="0334547C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lastRenderedPageBreak/>
        <w:t xml:space="preserve">Առաջադրանք 2. – Մշակել հաշվետվություն, որն ամփոփում է </w:t>
      </w:r>
      <w:bookmarkStart w:id="5" w:name="_Hlk203951190"/>
      <w:r w:rsidRPr="00D22E45">
        <w:rPr>
          <w:rFonts w:ascii="GHEA Grapalat" w:hAnsi="GHEA Grapalat" w:cs="Arial"/>
          <w:b/>
          <w:bCs/>
          <w:lang w:val="hy-AM"/>
        </w:rPr>
        <w:t xml:space="preserve">արևային կայաններից և էլեկտրական մեքենաների մարտկոցներից գոյացող էլեկտրոնային թափոնների բնապահպանական ռիսկերի գնահատման արդյունքները, ներառյալ բացահայտված ռիսկերը հասցեագրելու առաջարկությունների շարք, </w:t>
      </w:r>
      <w:bookmarkEnd w:id="5"/>
      <w:r w:rsidRPr="00D22E45">
        <w:rPr>
          <w:rFonts w:ascii="GHEA Grapalat" w:hAnsi="GHEA Grapalat" w:cs="Arial"/>
          <w:b/>
          <w:bCs/>
          <w:lang w:val="hy-AM"/>
        </w:rPr>
        <w:t>այդ թվում՝</w:t>
      </w:r>
    </w:p>
    <w:p w14:paraId="0999C944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2.1. Ուսումնասիրել արևային կայաններից և էլեկտրական մեքենաների մարտկոցներից գոյացող էլեկտրոնային թափոնների բնապահպանական ռիսկերի և ազդեցությունների գնահատման վերաբերյալ միջազգային փորձը:</w:t>
      </w:r>
    </w:p>
    <w:p w14:paraId="6BCAF7FA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2.2. Բացահայտել և ուսումնասիրել մեթոդները (քանակական և որակական)՝ արևային կայաններից և էլեկտրական մեքենաների մարտկոցներից գոյացող էլեկտրոնային թափոնների բնապահպանական ռիսկերի և ազդեցությունների գնահատման համար:</w:t>
      </w:r>
    </w:p>
    <w:p w14:paraId="649828D5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2.3. Գնահատել և վերլուծել արևային կայաններից և էլեկտրական մեքենաների մարտկոցներից գոյացող էլեկտրոնային թափոնների առկա և հնարավոր բնապահպանական ռիսկերը:</w:t>
      </w:r>
    </w:p>
    <w:p w14:paraId="3C6365CC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2.4. Մշակել առաջարկություններ շրջակա միջավայրի վրա դրական ազդեցություններն առավելագույնի հասցնելու և բացասական ազդեցությունները նվազագույնի հասցնելու վերաբերյալ՝ կառավարության և այլ շահագրգիռների կողմից իրականացվելիք միջոցառումների միջոցով:</w:t>
      </w:r>
    </w:p>
    <w:p w14:paraId="4C450499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2.5</w:t>
      </w:r>
      <w:r w:rsidRPr="00D22E45">
        <w:rPr>
          <w:rFonts w:ascii="Cambria Math" w:hAnsi="Cambria Math" w:cs="Cambria Math"/>
          <w:lang w:val="hy-AM"/>
        </w:rPr>
        <w:t>․</w:t>
      </w:r>
      <w:r w:rsidRPr="00D22E45">
        <w:rPr>
          <w:rFonts w:ascii="GHEA Grapalat" w:hAnsi="GHEA Grapalat" w:cs="Arial"/>
          <w:lang w:val="hy-AM"/>
        </w:rPr>
        <w:t xml:space="preserve"> Մշակել հաշվետվության նախագիծ, որն ամփոփում է բնապահպանական ռիսկերի գնահատման արդյունքները և տրամադրված առաջարկությունները, ինչպես նաև անցկացնել խորհրդակցություններ պետական և մասնավոր հատվածների, ակադեմիական հաստատությունների և միջազգային կազմակերպությունների շահագրգիռ ներկայացուցիչների հետ:</w:t>
      </w:r>
    </w:p>
    <w:p w14:paraId="0ECE31FC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2.6. Շահագրգիռ կողմերի հետ խորհրդակցությունների արդյունքների հիման վրա՝ վերանայել և ամփոփել հաշվետվությունը։</w:t>
      </w:r>
    </w:p>
    <w:p w14:paraId="17604034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 xml:space="preserve">Առաջադրանք 3. – Մշակել հաշվետվություն, որն ամփոփում է </w:t>
      </w:r>
      <w:bookmarkStart w:id="6" w:name="_Hlk203951547"/>
      <w:r w:rsidRPr="00D22E45">
        <w:rPr>
          <w:rFonts w:ascii="GHEA Grapalat" w:hAnsi="GHEA Grapalat" w:cs="Arial"/>
          <w:b/>
          <w:bCs/>
          <w:lang w:val="hy-AM"/>
        </w:rPr>
        <w:t xml:space="preserve">արևային կայաններից և էլեկտրական մեքենաների մարտկոցներից գոյացող էլեկտրոնային թափոնների հետևանքով սոցիալ-տնտեսական ռիսկերի գնահատման արդյունքները և բացահայտված ռիսկերը հասցեագրելու առաջարկությունների շարք, ներառյալ արևային էներգիայի և էլեկտրական </w:t>
      </w:r>
      <w:r w:rsidRPr="00D22E45">
        <w:rPr>
          <w:rFonts w:ascii="GHEA Grapalat" w:hAnsi="GHEA Grapalat" w:cs="Arial"/>
          <w:b/>
          <w:bCs/>
          <w:lang w:val="hy-AM"/>
        </w:rPr>
        <w:lastRenderedPageBreak/>
        <w:t xml:space="preserve">մեքենաների շուկաների ներդրումային միջավայրի վրա հնարավոր ազդեցության համատեսքտում, այդ թվում՝  </w:t>
      </w:r>
      <w:bookmarkEnd w:id="6"/>
    </w:p>
    <w:p w14:paraId="628BD272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3.1. Ուսումնասիրել</w:t>
      </w:r>
      <w:r w:rsidRPr="00D22E45">
        <w:rPr>
          <w:rFonts w:ascii="GHEA Grapalat" w:hAnsi="GHEA Grapalat" w:cs="Arial"/>
          <w:b/>
          <w:bCs/>
          <w:lang w:val="hy-AM"/>
        </w:rPr>
        <w:t xml:space="preserve"> </w:t>
      </w:r>
      <w:r w:rsidRPr="00D22E45">
        <w:rPr>
          <w:rFonts w:ascii="GHEA Grapalat" w:hAnsi="GHEA Grapalat" w:cs="Arial"/>
          <w:lang w:val="hy-AM"/>
        </w:rPr>
        <w:t>արևային կայաններից և էլեկտրական մեքենաների մարտկոցներից գոյացող էլեկտրոնային թափոնների հետևանքով հնարավոր սոցիալ-տնտեսական ռիսկերի գնահատման վերաբերյալ միջազգային փորձը, ներառյալ արևային էներգիայի և էլեկտրական մեքենաների շուկաների ներդրումային միջավայրի վրա ազդեցության համատեքստում:</w:t>
      </w:r>
    </w:p>
    <w:p w14:paraId="29154B2A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3.2. Բացահայտել և ուսումնասիրել մեթոդները (քանակական և որակական)՝ </w:t>
      </w:r>
      <w:bookmarkStart w:id="7" w:name="_Hlk204872372"/>
      <w:r w:rsidRPr="00D22E45">
        <w:rPr>
          <w:rFonts w:ascii="GHEA Grapalat" w:hAnsi="GHEA Grapalat" w:cs="Arial"/>
          <w:lang w:val="hy-AM"/>
        </w:rPr>
        <w:t xml:space="preserve">արևային կայաններից և էլեկտրական մեքենաների մարտկոցներից գոյացող էլեկտրոնային թափոնների հետևանքով սոցիալ-տնտեսական ռիսկերի </w:t>
      </w:r>
      <w:bookmarkEnd w:id="7"/>
      <w:r w:rsidRPr="00D22E45">
        <w:rPr>
          <w:rFonts w:ascii="GHEA Grapalat" w:hAnsi="GHEA Grapalat" w:cs="Arial"/>
          <w:lang w:val="hy-AM"/>
        </w:rPr>
        <w:t>գնահատման համար, ներառյալ արևային էներգիայի և էլեկտրական մեքենաների շուկաների ներդրումային միջավայրի վրա ազդեցության համատեքստում:</w:t>
      </w:r>
    </w:p>
    <w:p w14:paraId="30F14561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3.3. Գնահատել և վերլուծել արևային կայաններից և էլեկտրական մեքենաների մարտկոցներից գոյացող էլեկտրոնային թափոնների հետևանքով առկա և հնարավոր սոցիալ-տնտեսական ռիսկերը, ներառյալ արևային էներգիայի և էլեկտրական մեքենաների շուկաների ներդրումային միջավայրի վրա միջնաժամկետ և երկարաժամկետ հնարավոր ազդեցության համատեքստում: </w:t>
      </w:r>
    </w:p>
    <w:p w14:paraId="32FF59C7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3.4. Մշակել առաջարկություններ սոցիալ-տնտեսական դրական ազդեցություններն առավելագույնի հասցնելու և բացասական ազդեցությունները նվազագույնի հասցնելու վերաբերյալ՝ կառավարության և այլ շահագրգիռների կողմից իրականացվելիք միջոցառումների միջոցով:</w:t>
      </w:r>
    </w:p>
    <w:p w14:paraId="09240256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3.5. Մշակել հաշվետվության նախագիծ, որն ամփոփում է սոցիալ-տնտեսական ռիսկերի գնահատման արդյունքները և տրամադրված առաջարկությունները, ինչպես նաև անցկացնել խորհրդակցություններ պետական և մասնավոր հատվածների, ակադեմիական հաստատությունների և միջազգային կազմակերպությունների շահագրգիռ ներկայացուցիչների հետ:</w:t>
      </w:r>
    </w:p>
    <w:p w14:paraId="457A44F4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3.6. Շահագրգիռ կողմերի հետ խորհրդակցությունների արդյունքների հիման վրա՝ վերանայել և ամփոփել հաշվետվությունը։</w:t>
      </w:r>
    </w:p>
    <w:p w14:paraId="7EB428D1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 xml:space="preserve">4. ԱՐԴՅՈՒՆՔՆԵՐ և ՀԱՍՏԱՏՄԱՆ ԸՆԹԱՑԱԿԱՐԳԵՐ </w:t>
      </w:r>
    </w:p>
    <w:p w14:paraId="608ED482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Արդյունք 1</w:t>
      </w:r>
      <w:r w:rsidRPr="00D22E45">
        <w:rPr>
          <w:rFonts w:ascii="GHEA Grapalat" w:hAnsi="GHEA Grapalat" w:cs="Arial"/>
          <w:lang w:val="hy-AM"/>
        </w:rPr>
        <w:t>: Խորհրդատուի հաշվետվություն # 1</w:t>
      </w:r>
    </w:p>
    <w:p w14:paraId="627B5F5C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lastRenderedPageBreak/>
        <w:t>Հաշվետվությունը պետք է ներառի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(disaggredated data) և կանխատեսումներ, ներառյալ էլեկտրոնային թափոնների ծավալների վերաբերյալ շարունակական հաշվետվայնության և մոնիթորինգի մեխանիզմների վերաբերյալ առաջարկությունների ներկայացում:</w:t>
      </w:r>
    </w:p>
    <w:p w14:paraId="320627FC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Արդյունք 1-ի ներկայացման վերջնաժամկետ.</w:t>
      </w:r>
      <w:r w:rsidRPr="00D22E45">
        <w:rPr>
          <w:rFonts w:ascii="GHEA Grapalat" w:hAnsi="GHEA Grapalat" w:cs="Arial"/>
          <w:lang w:val="hy-AM"/>
        </w:rPr>
        <w:t xml:space="preserve"> Ծառայությունների մատուցման մեկնարկից՝ 1 ամիս: </w:t>
      </w:r>
    </w:p>
    <w:p w14:paraId="3138C70A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 xml:space="preserve">Արդյունք 2: Խորհրդատուի հաշվետվություն #2 </w:t>
      </w:r>
    </w:p>
    <w:p w14:paraId="6A3891F6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բնապահպանական ռիսկերի գնահատման արդյունքները, ներառյալ բացահայտված ռիսկերը հասցեագրելու առաջարկությունների շարք:</w:t>
      </w:r>
    </w:p>
    <w:p w14:paraId="17448793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Արդյունք 2-ի ներկայացման վերջնաժամկետ.</w:t>
      </w:r>
      <w:r w:rsidRPr="00D22E45">
        <w:rPr>
          <w:rFonts w:ascii="GHEA Grapalat" w:hAnsi="GHEA Grapalat" w:cs="Arial"/>
          <w:lang w:val="hy-AM"/>
        </w:rPr>
        <w:t xml:space="preserve"> Ծառայությունների մատուցման մեկնարկից՝ 3 ամիս: </w:t>
      </w:r>
    </w:p>
    <w:p w14:paraId="3B11D9E2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Արդյունք 3: Խորհրդատուի հաշվետվություն #3</w:t>
      </w:r>
    </w:p>
    <w:p w14:paraId="36E097E2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Հաշվետվությունը պետք է ներառի արևային կայաններից և էլեկտրական մեքենաների մարտկոցներից գոյացող էլեկտրոնային թափոնների հետևանքով սոցիալ-տնտեսական ռիսկերի գնահատման արդյունքները և բացահայտված ռիսկերը հասցեագրելու առաջարկությունների շարք, ներառյալ արևային էներգիայի և էլեկտրական մեքենաների շուկաների ներդրումային միջավայրի վրա հնարավոր ազդեցության համատեսքտում։ </w:t>
      </w:r>
    </w:p>
    <w:p w14:paraId="612F7857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Արդյունք 3-ի ներկայացման վերջնաժամկետ.</w:t>
      </w:r>
      <w:r w:rsidRPr="00D22E45">
        <w:rPr>
          <w:rFonts w:ascii="GHEA Grapalat" w:hAnsi="GHEA Grapalat" w:cs="Arial"/>
          <w:lang w:val="hy-AM"/>
        </w:rPr>
        <w:t xml:space="preserve"> Ծառայությունների մատուցման մեկնարկից՝ 4 ամիս: </w:t>
      </w:r>
    </w:p>
    <w:p w14:paraId="75288721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Առաջադրանքի ընդհանուր տևողությունը 4 ամիս է։ Խորհրդատուն կարող է առաջարկել իրականացման իր ժամանակացույցը: Հաշվետվությունները պետք է ներկայացվեն անգլերեն և հայերեն՝ էլեկտրոնային տարբերակով: Բոլոր հաշվետվությունները պետք է ուսումնասիրվեն և մեկնաբանվեն ՀՎԷԷ հիմնադրամի կողմից՝ ներկայացնելուց հետո տասնչորս օրվա ընթացքում: </w:t>
      </w:r>
    </w:p>
    <w:p w14:paraId="2ED501EA" w14:textId="77777777" w:rsidR="00B94877" w:rsidRPr="00D22E45" w:rsidRDefault="00B94877" w:rsidP="00B94877">
      <w:pPr>
        <w:pStyle w:val="a3"/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lastRenderedPageBreak/>
        <w:t>ՀԻՄՆՎԵԼՈՎ ՄԱՏՈՒՑՎԱԾ ԾԱՌԱՅՈՒԹՅՈՒՆՆԵՐԻ ԱՐԴՅՈՒՆՔՆԵՐԻ ՎՐԱ՝ ԽՈՐՀՐԴԱՏՈՒՆ ՊԵՏՔ Է ՊԱՏՐԱՍՏԻ ՀԱՆՁՆՄԱՆ-ԸՆԴՈՒՆՄԱՆ ԱԿՏԸ ԸՍՏ ՆԵՐԿԱՅԱՑՎԱԾ ՀԱՇՎԵՏՎՈՒԹՅԱՆ, ՈՐԸ ՊԵՏՔ Է ՍՏՈՐԱԳՐՎԻ ԿՈՂՄԵՐԻ ԿՈՂՄԻՑ 2 (ԵՐԿՈՒ) ԱՇԽԱՏԱՆՔԱՅԻՆ ՕՐՎԱ ԸՆԹԱՑՔՈՒՄ: ԿՈՂՄԵՐԻ ԿՈՂՄԻՑ ՀԱՆՁՆՄԱՆ-ԸՆԴՈՒՆՄԱՆ ԱԿՏԻ ՍՏՈՐԱԳՐՈՒՄԸ ՀԱՍՏԱՏՈՒՄ Է ԱՅՆ ՓԱՍՏԸ, ՈՐ ԾԱՌԱՅՈՒԹՅՈՒՆՆԵՐԸ ԻՐԱԿԱՆԱՑՎԵԼ ԵՆ ԽՈՐՀՐԴԱՏՈՒԻ ԿՈՂՄԻՑ և ԸՆԴՈՒՆՎԵԼ ԵՆ ՊԱՏՎԻՐԱՏՈՒԻ ԿՈՂՄԻՑ:</w:t>
      </w:r>
    </w:p>
    <w:p w14:paraId="3CB72A7A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lang w:val="hy-AM"/>
        </w:rPr>
      </w:pPr>
    </w:p>
    <w:p w14:paraId="59E55433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 xml:space="preserve">5. ԽՈՐՀՐԴԱՏՈՒԻ ԱՆՁՆԱԿԱԶՄԻ ՈՐԱԿԱՎՈՐՄԱՆ ՊԱՀԱՆՋՆԵՐ </w:t>
      </w:r>
    </w:p>
    <w:p w14:paraId="4DDC061D" w14:textId="77777777" w:rsidR="00B94877" w:rsidRPr="00D22E45" w:rsidRDefault="00B94877" w:rsidP="00B94877">
      <w:pPr>
        <w:pStyle w:val="a3"/>
        <w:spacing w:after="240" w:line="390" w:lineRule="atLeast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Որակավորման պահանջներ Ընկերության համար՝ </w:t>
      </w:r>
    </w:p>
    <w:p w14:paraId="0CE35B5C" w14:textId="77777777" w:rsidR="00B94877" w:rsidRPr="00D22E45" w:rsidRDefault="00B94877" w:rsidP="00B94877">
      <w:pPr>
        <w:pStyle w:val="a3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Բնապահպանական և սոցիալ-տնտեսական ազդեցությունների վերաբերյալ վերլուծությունների իրականացման փորձ (2 նմանատիպ պայմանագիր վերջին 5 տարվա ընթացքում);</w:t>
      </w:r>
    </w:p>
    <w:p w14:paraId="09347D37" w14:textId="77777777" w:rsidR="00B94877" w:rsidRPr="00D22E45" w:rsidRDefault="00B94877" w:rsidP="00B94877">
      <w:pPr>
        <w:pStyle w:val="a3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Թափոնների ոլորտում ուսումնասիրությունների մշակման փորձ (2 նմանատիպ պայմանագիր վերջին 5 տարվա ընթացքում);</w:t>
      </w:r>
    </w:p>
    <w:p w14:paraId="3DB46193" w14:textId="77777777" w:rsidR="00B94877" w:rsidRPr="00D22E45" w:rsidRDefault="00B94877" w:rsidP="00B94877">
      <w:pPr>
        <w:pStyle w:val="a3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Միջազգային ստանդարտներին համապատասխան՝ թափոնների ոլորտի վերաբերյալ տվյալների ուսումնասիրության և մեթոդական փաստաթղթերի պատրաստման փորձ։</w:t>
      </w:r>
    </w:p>
    <w:p w14:paraId="4C101FE4" w14:textId="77777777" w:rsidR="00B94877" w:rsidRPr="00D22E45" w:rsidRDefault="00B94877" w:rsidP="00B94877">
      <w:pPr>
        <w:pStyle w:val="a3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Նմանատիպ առաջադրանքների իրականացման միջազգային փորձ</w:t>
      </w:r>
      <w:r w:rsidRPr="00D22E45">
        <w:rPr>
          <w:rFonts w:ascii="GHEA Grapalat" w:eastAsia="MS Gothic" w:hAnsi="GHEA Grapalat" w:cs="MS Gothic"/>
          <w:lang w:val="hy-AM"/>
        </w:rPr>
        <w:t>։</w:t>
      </w:r>
    </w:p>
    <w:p w14:paraId="21A43F5A" w14:textId="77777777" w:rsidR="00B94877" w:rsidRPr="00D22E45" w:rsidRDefault="00B94877" w:rsidP="00B94877">
      <w:pPr>
        <w:pStyle w:val="a3"/>
        <w:spacing w:after="40" w:afterAutospacing="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 xml:space="preserve">Խորհրդատուի հիմնական անձնակազմը պետք է բաղկացած լինի առնվազն հետևյալ մասնագետներից՝ </w:t>
      </w:r>
    </w:p>
    <w:p w14:paraId="351F2B26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Թիմի ղեկավար,</w:t>
      </w:r>
    </w:p>
    <w:p w14:paraId="07C72747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Բնապահպանական ոլորտի տնտեսագետ,</w:t>
      </w:r>
    </w:p>
    <w:p w14:paraId="7E3A736E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bookmarkStart w:id="8" w:name="_Hlk206687289"/>
      <w:r w:rsidRPr="00D22E45">
        <w:rPr>
          <w:rFonts w:ascii="GHEA Grapalat" w:hAnsi="GHEA Grapalat" w:cs="Arial"/>
          <w:lang w:val="hy-AM"/>
        </w:rPr>
        <w:t>Բնապահպանության քաղաքականության փորձագետ,</w:t>
      </w:r>
    </w:p>
    <w:p w14:paraId="236B3C59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bookmarkStart w:id="9" w:name="_Hlk206687717"/>
      <w:bookmarkEnd w:id="8"/>
      <w:r w:rsidRPr="00D22E45">
        <w:rPr>
          <w:rFonts w:ascii="GHEA Grapalat" w:hAnsi="GHEA Grapalat" w:cs="Arial"/>
          <w:lang w:val="hy-AM"/>
        </w:rPr>
        <w:t>Թափոնների/էլեկտրոնային թափոնների քաղաքականության փորձագետ,</w:t>
      </w:r>
    </w:p>
    <w:bookmarkEnd w:id="9"/>
    <w:p w14:paraId="63F6DFB2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Տվյալների հավաքագրման փորձագե,տ</w:t>
      </w:r>
    </w:p>
    <w:p w14:paraId="10F0A6CE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bookmarkStart w:id="10" w:name="_Hlk206689331"/>
      <w:r w:rsidRPr="00D22E45">
        <w:rPr>
          <w:rFonts w:ascii="GHEA Grapalat" w:hAnsi="GHEA Grapalat" w:cs="Arial"/>
          <w:lang w:val="hy-AM"/>
        </w:rPr>
        <w:t>Տնտեսական-բնապահպանական ազդեցությունների գնահատումներ</w:t>
      </w:r>
      <w:bookmarkEnd w:id="10"/>
      <w:r w:rsidRPr="00D22E45">
        <w:rPr>
          <w:rFonts w:ascii="GHEA Grapalat" w:hAnsi="GHEA Grapalat" w:cs="Arial"/>
          <w:lang w:val="hy-AM"/>
        </w:rPr>
        <w:t>ի փորձագետ,</w:t>
      </w:r>
    </w:p>
    <w:p w14:paraId="7B3BD8F7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Արևային էներգայի փորձագետ,</w:t>
      </w:r>
    </w:p>
    <w:p w14:paraId="41FF7B69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bookmarkStart w:id="11" w:name="_Hlk206689748"/>
      <w:r w:rsidRPr="00D22E45">
        <w:rPr>
          <w:rFonts w:ascii="GHEA Grapalat" w:hAnsi="GHEA Grapalat" w:cs="Arial"/>
          <w:lang w:val="hy-AM"/>
        </w:rPr>
        <w:t xml:space="preserve">Էլեկտրական շարժունակության </w:t>
      </w:r>
      <w:bookmarkEnd w:id="11"/>
      <w:r w:rsidRPr="00D22E45">
        <w:rPr>
          <w:rFonts w:ascii="GHEA Grapalat" w:hAnsi="GHEA Grapalat" w:cs="Arial"/>
          <w:lang w:val="hy-AM"/>
        </w:rPr>
        <w:t xml:space="preserve">հարցերով փորձագետ, </w:t>
      </w:r>
    </w:p>
    <w:p w14:paraId="012E3268" w14:textId="77777777" w:rsidR="00B94877" w:rsidRPr="00D22E45" w:rsidRDefault="00B94877" w:rsidP="00B94877">
      <w:pPr>
        <w:pStyle w:val="a3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Գենդերային հարցերով և սոցիալական գնահատման փորձագետ։</w:t>
      </w:r>
    </w:p>
    <w:p w14:paraId="6450694A" w14:textId="77777777" w:rsidR="00B94877" w:rsidRPr="00D22E45" w:rsidRDefault="00B94877" w:rsidP="00B94877">
      <w:pPr>
        <w:pStyle w:val="a3"/>
        <w:tabs>
          <w:tab w:val="left" w:pos="810"/>
        </w:tabs>
        <w:spacing w:after="4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Խորհրդատուն կարող է ներգրավել նաև ոչ հիմնական/աջակցող անձնակազմի (օրինակ՝ ծրագրի օգնական, հանրային կապերի մասնագետ):</w:t>
      </w:r>
    </w:p>
    <w:p w14:paraId="7BE42DD9" w14:textId="77777777" w:rsidR="00B94877" w:rsidRPr="00D22E45" w:rsidRDefault="00B94877" w:rsidP="00B94877">
      <w:pPr>
        <w:pStyle w:val="a3"/>
        <w:tabs>
          <w:tab w:val="left" w:pos="810"/>
        </w:tabs>
        <w:spacing w:after="40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lastRenderedPageBreak/>
        <w:t xml:space="preserve">Հիմնական անձնակազմի որակավորման պահանջներ՝ </w:t>
      </w:r>
    </w:p>
    <w:p w14:paraId="7BBFCDB2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Թիմի ղեկավար</w:t>
      </w:r>
    </w:p>
    <w:p w14:paraId="08432D37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Բարձրագույն կրթություն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տնտեսագիտության, ֆինանսների, բնապահպանական գիտությունների 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;</w:t>
      </w:r>
    </w:p>
    <w:p w14:paraId="142A3AB9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Միջազգային ծրագրերի կառավարման և/կամ համակարգման նվազագույնը 10 տարվա աշխատանքային փորձ, մասնավորապես՝ բնապահպանության, թափոնների կառավարման կամ կլիմայի փոփոխության ոլորտում;</w:t>
      </w:r>
    </w:p>
    <w:p w14:paraId="331B9756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Բնապահպանական և սոցիալ-տնտեսական ազդեցությունների վերաբերյալ վերլուծությունների իրականացման փորձ (2 նմանատիպ պայմանագիր վերջին 5 տարվա ընթացքում);</w:t>
      </w:r>
    </w:p>
    <w:p w14:paraId="448986B3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Միջազգային ստանդարտներին համապատասխան՝ թափոնների ոլորտում ուսումնասիրությունների և մեթոդական փաստաթղթերի մշակման փորձ (2 նմանատիպ պայմանագիր վերջին 5 տարվա ընթացքում); </w:t>
      </w:r>
    </w:p>
    <w:p w14:paraId="6B014D4D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2BFF7FBB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Բնապահպանական ոլորտի տնտեսագետ</w:t>
      </w:r>
    </w:p>
    <w:p w14:paraId="03D3ED0C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Բարձրագույն կրթություն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տնտեսագիտության, բնապահպանական գիտությունների 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;</w:t>
      </w:r>
    </w:p>
    <w:p w14:paraId="74399D1A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Բնապահպանության, կլիմայի փոփոխության և կայուն զարգացման քաղաքականության կամ խորհրդատվության ոլորտում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ընթացքում);</w:t>
      </w:r>
    </w:p>
    <w:p w14:paraId="614CF40A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603B1EBD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Բնապահպանության քաղաքականության փորձագետ</w:t>
      </w:r>
    </w:p>
    <w:p w14:paraId="57172335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Բարձրագույն կրթություն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բնապահպանական գիտությունների 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;</w:t>
      </w:r>
    </w:p>
    <w:p w14:paraId="2DAE8D55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Բնապահպանության քաղաքականության կամ խորհրդատվության ոլորտում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ընթացքում);</w:t>
      </w:r>
    </w:p>
    <w:p w14:paraId="1C70D0FF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2F0E7552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Թափոնների/էլեկտրոնային թափոնների քաղաքականության փորձագետ</w:t>
      </w:r>
    </w:p>
    <w:p w14:paraId="58B7847C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Բարձրագույն կրթություն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թափոնների, տնտեսագիտության 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13625DA5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Թափոնների կառավարման (մասնավորապես կոշտ կենցաղային թափոնների կառավարման) կամ էլեկտրոնային թափոնների քաղաքականության կամ խորհրդատվության ոլորտում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ընթացքում)։</w:t>
      </w:r>
    </w:p>
    <w:p w14:paraId="3FAF3931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lastRenderedPageBreak/>
        <w:t>Հայերեն և անգլերեն լեզուների գրավոր և բանավոր աշխատանքային իմացություն։</w:t>
      </w:r>
    </w:p>
    <w:p w14:paraId="4031D3C2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Տվյալների հավաքագրման փորձագետ</w:t>
      </w:r>
    </w:p>
    <w:p w14:paraId="529593D7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Բարձրագույն կրթություն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տնտեսագիտության 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4F557B31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Թափոնների տվյալների հավաքագրման, վերլուծության և հաշվետվայնության ու մոնիթորինգի հարցերով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ընթացքում)։</w:t>
      </w:r>
    </w:p>
    <w:p w14:paraId="1D63E9B5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1D09959B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Տնտեսական-բնապահպանական ազդեցությունների գնահատումների փորձագետ</w:t>
      </w:r>
    </w:p>
    <w:p w14:paraId="13BD0E6A" w14:textId="77777777" w:rsidR="00B94877" w:rsidRPr="00D22E45" w:rsidRDefault="00B94877" w:rsidP="00B94877">
      <w:pPr>
        <w:pStyle w:val="af"/>
        <w:numPr>
          <w:ilvl w:val="0"/>
          <w:numId w:val="6"/>
        </w:numPr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Բարձրագույն կրթություն տնտեսագիտության,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բնապահպանական գիտությունների 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;</w:t>
      </w:r>
    </w:p>
    <w:p w14:paraId="56DEA756" w14:textId="77777777" w:rsidR="00B94877" w:rsidRPr="00D22E45" w:rsidRDefault="00B94877" w:rsidP="00B94877">
      <w:pPr>
        <w:pStyle w:val="af"/>
        <w:numPr>
          <w:ilvl w:val="0"/>
          <w:numId w:val="6"/>
        </w:numPr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Տնտեսական-բնապահպանական ազդեցությունների վերլուծությունների մշակման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ընթացքում);</w:t>
      </w:r>
    </w:p>
    <w:p w14:paraId="36C67C3D" w14:textId="77777777" w:rsidR="00B94877" w:rsidRPr="00D22E45" w:rsidRDefault="00B94877" w:rsidP="00B94877">
      <w:pPr>
        <w:pStyle w:val="af"/>
        <w:numPr>
          <w:ilvl w:val="0"/>
          <w:numId w:val="6"/>
        </w:numPr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7798FC82" w14:textId="77777777" w:rsidR="00B94877" w:rsidRPr="00D22E45" w:rsidRDefault="00B94877" w:rsidP="00B94877">
      <w:pPr>
        <w:pStyle w:val="a3"/>
        <w:numPr>
          <w:ilvl w:val="0"/>
          <w:numId w:val="6"/>
        </w:numPr>
        <w:spacing w:after="240" w:line="390" w:lineRule="atLeast"/>
        <w:jc w:val="both"/>
        <w:textAlignment w:val="baseline"/>
        <w:rPr>
          <w:rFonts w:ascii="GHEA Grapalat" w:hAnsi="GHEA Grapalat" w:cs="Arial"/>
          <w:lang w:val="hy-AM"/>
        </w:rPr>
      </w:pPr>
      <w:r w:rsidRPr="00D22E45">
        <w:rPr>
          <w:rFonts w:ascii="GHEA Grapalat" w:hAnsi="GHEA Grapalat" w:cs="Arial"/>
          <w:lang w:val="hy-AM"/>
        </w:rPr>
        <w:t>Նմանատիպ առաջադրանքների իրականացման միջազգային փորձ</w:t>
      </w:r>
      <w:r w:rsidRPr="00D22E45">
        <w:rPr>
          <w:rFonts w:ascii="GHEA Grapalat" w:eastAsia="MS Gothic" w:hAnsi="GHEA Grapalat" w:cs="MS Gothic"/>
          <w:lang w:val="hy-AM"/>
        </w:rPr>
        <w:t>։</w:t>
      </w:r>
    </w:p>
    <w:p w14:paraId="25DCF2B5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>Արևային էներգայի փորձագետ</w:t>
      </w:r>
    </w:p>
    <w:p w14:paraId="2857C8D8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Բարձրագույն կրթություն էներգետիկայի, ճարտարագիտության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;</w:t>
      </w:r>
    </w:p>
    <w:p w14:paraId="4AC0DE0F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Արևային էներգետիկայի քաղաքականության կամ խորհրդատվության ոլորտում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ընթացքում);</w:t>
      </w:r>
    </w:p>
    <w:p w14:paraId="6413CC40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668F952E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bookmarkStart w:id="12" w:name="_Hlk206689794"/>
      <w:r w:rsidRPr="00D22E45">
        <w:rPr>
          <w:rFonts w:ascii="GHEA Grapalat" w:hAnsi="GHEA Grapalat" w:cs="Arial"/>
          <w:b/>
          <w:bCs/>
          <w:lang w:val="hy-AM"/>
        </w:rPr>
        <w:t xml:space="preserve">Էլեկտրական շարժունակության </w:t>
      </w:r>
      <w:bookmarkEnd w:id="12"/>
      <w:r w:rsidRPr="00D22E45">
        <w:rPr>
          <w:rFonts w:ascii="GHEA Grapalat" w:hAnsi="GHEA Grapalat" w:cs="Arial"/>
          <w:b/>
          <w:bCs/>
          <w:lang w:val="hy-AM"/>
        </w:rPr>
        <w:t>փորձագետ</w:t>
      </w:r>
    </w:p>
    <w:p w14:paraId="2D5AEF10" w14:textId="77777777" w:rsidR="00B94877" w:rsidRPr="00D22E45" w:rsidRDefault="00B94877" w:rsidP="00B94877">
      <w:pPr>
        <w:pStyle w:val="af"/>
        <w:numPr>
          <w:ilvl w:val="0"/>
          <w:numId w:val="6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 xml:space="preserve">Բարձրագույն կրթություն էներգետիկայի, տնտեսագիտության, կլիմայի փոփոխության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;</w:t>
      </w:r>
    </w:p>
    <w:p w14:paraId="1491FB21" w14:textId="77777777" w:rsidR="00B94877" w:rsidRPr="00D22E45" w:rsidRDefault="00B94877" w:rsidP="00B94877">
      <w:pPr>
        <w:pStyle w:val="af"/>
        <w:numPr>
          <w:ilvl w:val="0"/>
          <w:numId w:val="6"/>
        </w:numPr>
        <w:spacing w:after="40"/>
        <w:contextualSpacing w:val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Էլեկտրական շարժունակության քաղաքականության կամ խորհրդատվության ոլորտում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ընթացքում);</w:t>
      </w:r>
    </w:p>
    <w:p w14:paraId="3F5BCAF3" w14:textId="77777777" w:rsidR="00B94877" w:rsidRPr="00D22E45" w:rsidRDefault="00B94877" w:rsidP="00B94877">
      <w:pPr>
        <w:pStyle w:val="af"/>
        <w:numPr>
          <w:ilvl w:val="0"/>
          <w:numId w:val="6"/>
        </w:numPr>
        <w:spacing w:after="40"/>
        <w:contextualSpacing w:val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3F859B54" w14:textId="77777777" w:rsidR="00B94877" w:rsidRPr="00D22E45" w:rsidRDefault="00B94877" w:rsidP="00B94877">
      <w:pPr>
        <w:pStyle w:val="a3"/>
        <w:tabs>
          <w:tab w:val="left" w:pos="810"/>
        </w:tabs>
        <w:spacing w:after="40" w:afterAutospacing="0"/>
        <w:textAlignment w:val="baseline"/>
        <w:rPr>
          <w:rFonts w:ascii="GHEA Grapalat" w:hAnsi="GHEA Grapalat" w:cs="Arial"/>
          <w:b/>
          <w:bCs/>
          <w:lang w:val="hy-AM"/>
        </w:rPr>
      </w:pPr>
      <w:r w:rsidRPr="00D22E45">
        <w:rPr>
          <w:rFonts w:ascii="GHEA Grapalat" w:hAnsi="GHEA Grapalat" w:cs="Arial"/>
          <w:b/>
          <w:bCs/>
          <w:lang w:val="hy-AM"/>
        </w:rPr>
        <w:t xml:space="preserve">Գենդերային հարցերով և սոցիալական գնահատման փորձագետ </w:t>
      </w:r>
    </w:p>
    <w:p w14:paraId="03A4B132" w14:textId="77777777" w:rsidR="00B94877" w:rsidRPr="00D22E45" w:rsidRDefault="00B94877" w:rsidP="00B94877">
      <w:pPr>
        <w:pStyle w:val="af"/>
        <w:numPr>
          <w:ilvl w:val="0"/>
          <w:numId w:val="6"/>
        </w:numPr>
        <w:spacing w:after="40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Բարձրագույն կրթություն սոցիալական գիտությունների, միջազգային զարգացման/ հարաբերությունների </w:t>
      </w: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>կամ հարակից ոլորտներով</w:t>
      </w:r>
      <w:r w:rsidRPr="00D22E45">
        <w:rPr>
          <w:rFonts w:ascii="GHEA Grapalat" w:hAnsi="GHEA Grapalat" w:cs="Arial"/>
          <w:sz w:val="24"/>
          <w:szCs w:val="24"/>
          <w:lang w:val="hy-AM"/>
        </w:rPr>
        <w:t>;</w:t>
      </w:r>
    </w:p>
    <w:p w14:paraId="602E902C" w14:textId="77777777" w:rsidR="00B94877" w:rsidRPr="00D22E45" w:rsidRDefault="00B94877" w:rsidP="00B94877">
      <w:pPr>
        <w:pStyle w:val="af"/>
        <w:numPr>
          <w:ilvl w:val="0"/>
          <w:numId w:val="6"/>
        </w:numPr>
        <w:spacing w:after="0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2E4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Գենդերային հարցերով և սոցիալական վերլուծությունների մշակման աշխատանքային փորձ </w:t>
      </w:r>
      <w:r w:rsidRPr="00D22E45">
        <w:rPr>
          <w:rFonts w:ascii="GHEA Grapalat" w:hAnsi="GHEA Grapalat" w:cs="Arial"/>
          <w:sz w:val="24"/>
          <w:szCs w:val="24"/>
          <w:lang w:val="hy-AM"/>
        </w:rPr>
        <w:t>(2 նմանատիպ պայմանագիր վերջին 5 տարվա ընթացքում);</w:t>
      </w:r>
    </w:p>
    <w:p w14:paraId="755DCCFC" w14:textId="77777777" w:rsidR="00B94877" w:rsidRPr="00D22E45" w:rsidRDefault="00B94877" w:rsidP="00B94877">
      <w:pPr>
        <w:pStyle w:val="af"/>
        <w:numPr>
          <w:ilvl w:val="0"/>
          <w:numId w:val="6"/>
        </w:numPr>
        <w:spacing w:after="0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2E45">
        <w:rPr>
          <w:rFonts w:ascii="GHEA Grapalat" w:hAnsi="GHEA Grapalat" w:cs="Arial"/>
          <w:sz w:val="24"/>
          <w:szCs w:val="24"/>
          <w:lang w:val="hy-AM"/>
        </w:rPr>
        <w:t>Հայերեն և անգլերեն լեզուների գրավոր և բանավոր աշխատանքային իմացություն։</w:t>
      </w:r>
    </w:p>
    <w:p w14:paraId="74C39B26" w14:textId="0F23ECEE" w:rsidR="00B94877" w:rsidRPr="00D22E45" w:rsidRDefault="00B94877" w:rsidP="00CA3B5A">
      <w:pPr>
        <w:pStyle w:val="a3"/>
        <w:spacing w:before="0" w:beforeAutospacing="0" w:after="240" w:afterAutospacing="0" w:line="390" w:lineRule="atLeast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</w:p>
    <w:p w14:paraId="70451E21" w14:textId="26A1D69E" w:rsidR="00B94877" w:rsidRPr="00D22E45" w:rsidRDefault="00B94877" w:rsidP="00CA3B5A">
      <w:pPr>
        <w:pStyle w:val="a3"/>
        <w:spacing w:before="0" w:beforeAutospacing="0" w:after="240" w:afterAutospacing="0" w:line="390" w:lineRule="atLeast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</w:p>
    <w:p w14:paraId="29B34457" w14:textId="5D518862" w:rsidR="00B94877" w:rsidRPr="00D22E45" w:rsidRDefault="00B94877" w:rsidP="00CA3B5A">
      <w:pPr>
        <w:pStyle w:val="a3"/>
        <w:spacing w:before="0" w:beforeAutospacing="0" w:after="240" w:afterAutospacing="0" w:line="390" w:lineRule="atLeast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</w:p>
    <w:p w14:paraId="1BE9FC15" w14:textId="7A787B5B" w:rsidR="00B94877" w:rsidRPr="00D22E45" w:rsidRDefault="00B94877" w:rsidP="00CA3B5A">
      <w:pPr>
        <w:pStyle w:val="a3"/>
        <w:spacing w:before="0" w:beforeAutospacing="0" w:after="240" w:afterAutospacing="0" w:line="390" w:lineRule="atLeast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</w:p>
    <w:p w14:paraId="7B214811" w14:textId="46D6B7AD" w:rsidR="00B94877" w:rsidRPr="00D22E45" w:rsidRDefault="00B94877" w:rsidP="00CA3B5A">
      <w:pPr>
        <w:pStyle w:val="a3"/>
        <w:spacing w:before="0" w:beforeAutospacing="0" w:after="240" w:afterAutospacing="0" w:line="390" w:lineRule="atLeast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</w:p>
    <w:p w14:paraId="3651394C" w14:textId="77777777" w:rsidR="00B94877" w:rsidRPr="00D22E45" w:rsidRDefault="00B94877" w:rsidP="00CA3B5A">
      <w:pPr>
        <w:pStyle w:val="a3"/>
        <w:spacing w:before="0" w:beforeAutospacing="0" w:after="240" w:afterAutospacing="0" w:line="390" w:lineRule="atLeast"/>
        <w:textAlignment w:val="baseline"/>
        <w:rPr>
          <w:rFonts w:ascii="GHEA Grapalat" w:hAnsi="GHEA Grapalat" w:cs="Arial"/>
          <w:color w:val="000000"/>
          <w:spacing w:val="8"/>
          <w:lang w:val="hy-AM"/>
        </w:rPr>
      </w:pPr>
    </w:p>
    <w:sectPr w:rsidR="00B94877" w:rsidRPr="00D2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8078" w14:textId="77777777" w:rsidR="00E1150C" w:rsidRDefault="00E1150C" w:rsidP="00A367BF">
      <w:pPr>
        <w:spacing w:after="0" w:line="240" w:lineRule="auto"/>
      </w:pPr>
      <w:r>
        <w:separator/>
      </w:r>
    </w:p>
  </w:endnote>
  <w:endnote w:type="continuationSeparator" w:id="0">
    <w:p w14:paraId="23D87F88" w14:textId="77777777" w:rsidR="00E1150C" w:rsidRDefault="00E1150C" w:rsidP="00A3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FF53" w14:textId="77777777" w:rsidR="00E1150C" w:rsidRDefault="00E1150C" w:rsidP="00A367BF">
      <w:pPr>
        <w:spacing w:after="0" w:line="240" w:lineRule="auto"/>
      </w:pPr>
      <w:r>
        <w:separator/>
      </w:r>
    </w:p>
  </w:footnote>
  <w:footnote w:type="continuationSeparator" w:id="0">
    <w:p w14:paraId="7BB525B4" w14:textId="77777777" w:rsidR="00E1150C" w:rsidRDefault="00E1150C" w:rsidP="00A3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B4"/>
    <w:multiLevelType w:val="hybridMultilevel"/>
    <w:tmpl w:val="DA7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AF3"/>
    <w:multiLevelType w:val="hybridMultilevel"/>
    <w:tmpl w:val="5F3C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216E"/>
    <w:multiLevelType w:val="hybridMultilevel"/>
    <w:tmpl w:val="6A54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29E"/>
    <w:multiLevelType w:val="hybridMultilevel"/>
    <w:tmpl w:val="EFD6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B42CC"/>
    <w:multiLevelType w:val="hybridMultilevel"/>
    <w:tmpl w:val="8D4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14CB3"/>
    <w:multiLevelType w:val="hybridMultilevel"/>
    <w:tmpl w:val="767A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9687">
    <w:abstractNumId w:val="5"/>
  </w:num>
  <w:num w:numId="2" w16cid:durableId="701705292">
    <w:abstractNumId w:val="1"/>
  </w:num>
  <w:num w:numId="3" w16cid:durableId="1288468531">
    <w:abstractNumId w:val="3"/>
  </w:num>
  <w:num w:numId="4" w16cid:durableId="551423258">
    <w:abstractNumId w:val="2"/>
  </w:num>
  <w:num w:numId="5" w16cid:durableId="531694371">
    <w:abstractNumId w:val="0"/>
  </w:num>
  <w:num w:numId="6" w16cid:durableId="2128546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5A"/>
    <w:rsid w:val="0000641F"/>
    <w:rsid w:val="00010F44"/>
    <w:rsid w:val="00011C6C"/>
    <w:rsid w:val="000267F5"/>
    <w:rsid w:val="00033126"/>
    <w:rsid w:val="00072140"/>
    <w:rsid w:val="00083025"/>
    <w:rsid w:val="00094493"/>
    <w:rsid w:val="000A28B0"/>
    <w:rsid w:val="000A4469"/>
    <w:rsid w:val="000B0A12"/>
    <w:rsid w:val="000C7F05"/>
    <w:rsid w:val="000D4CF5"/>
    <w:rsid w:val="000D595B"/>
    <w:rsid w:val="000F4AF5"/>
    <w:rsid w:val="000F6FF4"/>
    <w:rsid w:val="00126717"/>
    <w:rsid w:val="00141E6A"/>
    <w:rsid w:val="00172966"/>
    <w:rsid w:val="001764CE"/>
    <w:rsid w:val="001B06C6"/>
    <w:rsid w:val="001B747A"/>
    <w:rsid w:val="001D6EE9"/>
    <w:rsid w:val="001E1DDF"/>
    <w:rsid w:val="001F233C"/>
    <w:rsid w:val="001F3A50"/>
    <w:rsid w:val="00214B93"/>
    <w:rsid w:val="002269B3"/>
    <w:rsid w:val="002270A9"/>
    <w:rsid w:val="00261977"/>
    <w:rsid w:val="00276ACE"/>
    <w:rsid w:val="002A0098"/>
    <w:rsid w:val="002B072D"/>
    <w:rsid w:val="002D506A"/>
    <w:rsid w:val="002E52C9"/>
    <w:rsid w:val="0032061D"/>
    <w:rsid w:val="003609BB"/>
    <w:rsid w:val="003C571D"/>
    <w:rsid w:val="003F50E5"/>
    <w:rsid w:val="004028AA"/>
    <w:rsid w:val="00405917"/>
    <w:rsid w:val="00435164"/>
    <w:rsid w:val="00440D48"/>
    <w:rsid w:val="004814C0"/>
    <w:rsid w:val="004821FF"/>
    <w:rsid w:val="0049445E"/>
    <w:rsid w:val="00496D1A"/>
    <w:rsid w:val="004B784B"/>
    <w:rsid w:val="004D4CCB"/>
    <w:rsid w:val="00504DE9"/>
    <w:rsid w:val="00514FFC"/>
    <w:rsid w:val="00525396"/>
    <w:rsid w:val="005372BF"/>
    <w:rsid w:val="00543E38"/>
    <w:rsid w:val="00574E54"/>
    <w:rsid w:val="00583DE0"/>
    <w:rsid w:val="00592FFB"/>
    <w:rsid w:val="006232B5"/>
    <w:rsid w:val="006601B0"/>
    <w:rsid w:val="00664620"/>
    <w:rsid w:val="00696209"/>
    <w:rsid w:val="006A7E22"/>
    <w:rsid w:val="006C251D"/>
    <w:rsid w:val="006C5FA0"/>
    <w:rsid w:val="006D3A53"/>
    <w:rsid w:val="006F0181"/>
    <w:rsid w:val="00701BAF"/>
    <w:rsid w:val="00703F84"/>
    <w:rsid w:val="0076788E"/>
    <w:rsid w:val="00782B5C"/>
    <w:rsid w:val="007A4F90"/>
    <w:rsid w:val="007B03DE"/>
    <w:rsid w:val="007B0CA1"/>
    <w:rsid w:val="007C52DD"/>
    <w:rsid w:val="007D1C12"/>
    <w:rsid w:val="007D2B8D"/>
    <w:rsid w:val="007E0E79"/>
    <w:rsid w:val="00815785"/>
    <w:rsid w:val="00864286"/>
    <w:rsid w:val="0087125C"/>
    <w:rsid w:val="00874ACB"/>
    <w:rsid w:val="008B3784"/>
    <w:rsid w:val="008B6E89"/>
    <w:rsid w:val="009331B1"/>
    <w:rsid w:val="009475FF"/>
    <w:rsid w:val="00974EB7"/>
    <w:rsid w:val="009A6296"/>
    <w:rsid w:val="009C06B0"/>
    <w:rsid w:val="00A10809"/>
    <w:rsid w:val="00A306F4"/>
    <w:rsid w:val="00A367BF"/>
    <w:rsid w:val="00A464C6"/>
    <w:rsid w:val="00A4722B"/>
    <w:rsid w:val="00AC236B"/>
    <w:rsid w:val="00AE2A6B"/>
    <w:rsid w:val="00B43214"/>
    <w:rsid w:val="00B56765"/>
    <w:rsid w:val="00B94877"/>
    <w:rsid w:val="00B979D3"/>
    <w:rsid w:val="00BA6549"/>
    <w:rsid w:val="00BB15A1"/>
    <w:rsid w:val="00BC58C9"/>
    <w:rsid w:val="00BD4ED0"/>
    <w:rsid w:val="00BF5A80"/>
    <w:rsid w:val="00BF6048"/>
    <w:rsid w:val="00C14D6A"/>
    <w:rsid w:val="00C55FB2"/>
    <w:rsid w:val="00C621B1"/>
    <w:rsid w:val="00C654A8"/>
    <w:rsid w:val="00C706BB"/>
    <w:rsid w:val="00C8120E"/>
    <w:rsid w:val="00CA3B5A"/>
    <w:rsid w:val="00CC5B44"/>
    <w:rsid w:val="00CC637E"/>
    <w:rsid w:val="00CD6E30"/>
    <w:rsid w:val="00CE7FAA"/>
    <w:rsid w:val="00CF372F"/>
    <w:rsid w:val="00D00E22"/>
    <w:rsid w:val="00D22E45"/>
    <w:rsid w:val="00D3330D"/>
    <w:rsid w:val="00D437C9"/>
    <w:rsid w:val="00D80E6B"/>
    <w:rsid w:val="00D8525B"/>
    <w:rsid w:val="00DA11FA"/>
    <w:rsid w:val="00DA1416"/>
    <w:rsid w:val="00DC35A6"/>
    <w:rsid w:val="00DE0459"/>
    <w:rsid w:val="00E00C61"/>
    <w:rsid w:val="00E1150C"/>
    <w:rsid w:val="00E63A77"/>
    <w:rsid w:val="00E66978"/>
    <w:rsid w:val="00EC344C"/>
    <w:rsid w:val="00EC6FB5"/>
    <w:rsid w:val="00EF5682"/>
    <w:rsid w:val="00F2202B"/>
    <w:rsid w:val="00F37ACD"/>
    <w:rsid w:val="00F5174B"/>
    <w:rsid w:val="00F819E2"/>
    <w:rsid w:val="00F965B9"/>
    <w:rsid w:val="00FA3BA6"/>
    <w:rsid w:val="00FA739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C022"/>
  <w15:chartTrackingRefBased/>
  <w15:docId w15:val="{6E474373-B4AF-4FC6-844B-8951FB1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CA3B5A"/>
    <w:rPr>
      <w:color w:val="0000FF"/>
      <w:u w:val="single"/>
    </w:rPr>
  </w:style>
  <w:style w:type="character" w:customStyle="1" w:styleId="boldspan">
    <w:name w:val="boldspan"/>
    <w:basedOn w:val="a0"/>
    <w:rsid w:val="00CA3B5A"/>
  </w:style>
  <w:style w:type="character" w:styleId="a5">
    <w:name w:val="FollowedHyperlink"/>
    <w:basedOn w:val="a0"/>
    <w:uiPriority w:val="99"/>
    <w:semiHidden/>
    <w:unhideWhenUsed/>
    <w:rsid w:val="00CA3B5A"/>
    <w:rPr>
      <w:color w:val="954F72" w:themeColor="followedHyperlink"/>
      <w:u w:val="single"/>
    </w:rPr>
  </w:style>
  <w:style w:type="paragraph" w:customStyle="1" w:styleId="Default">
    <w:name w:val="Default"/>
    <w:rsid w:val="00227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03F8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03F8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03F8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3F8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3F8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3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67BF"/>
  </w:style>
  <w:style w:type="paragraph" w:styleId="ad">
    <w:name w:val="footer"/>
    <w:basedOn w:val="a"/>
    <w:link w:val="ae"/>
    <w:uiPriority w:val="99"/>
    <w:unhideWhenUsed/>
    <w:rsid w:val="00A3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67BF"/>
  </w:style>
  <w:style w:type="paragraph" w:styleId="af">
    <w:name w:val="List Paragraph"/>
    <w:basedOn w:val="a"/>
    <w:uiPriority w:val="34"/>
    <w:qFormat/>
    <w:rsid w:val="00B9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2352</Words>
  <Characters>13408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R2E2_005</dc:creator>
  <cp:keywords/>
  <dc:description/>
  <cp:lastModifiedBy>R2E2_005</cp:lastModifiedBy>
  <cp:revision>2</cp:revision>
  <cp:lastPrinted>2025-09-23T07:10:00Z</cp:lastPrinted>
  <dcterms:created xsi:type="dcterms:W3CDTF">2025-10-06T11:50:00Z</dcterms:created>
  <dcterms:modified xsi:type="dcterms:W3CDTF">2025-10-06T11:50:00Z</dcterms:modified>
</cp:coreProperties>
</file>